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center"/>
        <w:rPr>
          <w:rFonts w:cs="Calibri" w:asciiTheme="minorEastAsia" w:hAnsiTheme="minorEastAsia" w:eastAsiaTheme="minorEastAsia"/>
          <w:b/>
          <w:sz w:val="30"/>
          <w:szCs w:val="30"/>
        </w:rPr>
      </w:pPr>
      <w:bookmarkStart w:id="0" w:name="_GoBack"/>
      <w:bookmarkEnd w:id="0"/>
      <w:r>
        <w:rPr>
          <w:rFonts w:hint="eastAsia" w:cs="Calibri" w:asciiTheme="minorEastAsia" w:hAnsiTheme="minorEastAsia" w:eastAsiaTheme="minorEastAsia"/>
          <w:b/>
          <w:sz w:val="30"/>
          <w:szCs w:val="30"/>
        </w:rPr>
        <w:t>生物样本外送承诺书</w:t>
      </w:r>
    </w:p>
    <w:p>
      <w:pPr>
        <w:spacing w:after="0" w:line="360" w:lineRule="auto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广州市胸科医院：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  <w:u w:val="single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由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                                                 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 xml:space="preserve"> 作为申办者发起的临床试验项目：</w:t>
      </w:r>
      <w:r>
        <w:rPr>
          <w:rFonts w:cs="Times New Roman" w:asciiTheme="minorEastAsia" w:hAnsiTheme="minorEastAsia" w:eastAsiaTheme="minorEastAsia"/>
          <w:sz w:val="21"/>
          <w:szCs w:val="21"/>
        </w:rPr>
        <w:t xml:space="preserve"> 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                                                                                                        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广州市胸科医院是参加该临床试验医院之一，广州市胸科医院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             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主任</w:t>
      </w:r>
      <w:r>
        <w:rPr>
          <w:rFonts w:cs="Times New Roman" w:asciiTheme="minorEastAsia" w:hAnsiTheme="minorEastAsia" w:eastAsiaTheme="minorEastAsia"/>
          <w:sz w:val="21"/>
          <w:szCs w:val="21"/>
        </w:rPr>
        <w:t>为分中心主要研究者。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依据《赫尔辛基宣言》、中国《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医疗器械</w:t>
      </w:r>
      <w:r>
        <w:rPr>
          <w:rFonts w:cs="Times New Roman" w:asciiTheme="minorEastAsia" w:hAnsiTheme="minorEastAsia" w:eastAsiaTheme="minorEastAsia"/>
          <w:sz w:val="21"/>
          <w:szCs w:val="21"/>
        </w:rPr>
        <w:t>临床试验质量管理规范》以及其他相关法规，在受试者签署知情同意书后，结合广州市胸科医院有关生物标本的管理规范，本申办者对该试验中有关生物样本（包括生物标记物组织切片、血样、尿样等）的保存、运输、使用、销毁等环节进行如下承诺：</w:t>
      </w:r>
    </w:p>
    <w:p>
      <w:pPr>
        <w:tabs>
          <w:tab w:val="left" w:pos="720"/>
        </w:tabs>
        <w:spacing w:after="0" w:line="360" w:lineRule="auto"/>
        <w:ind w:right="440" w:rightChars="200"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</w:rPr>
        <w:t>1）本申办者承诺在该试验中，标本必须首先满足广州市胸科医院临床正常的医疗用途，再由医院根据科研及临床需求情况后决定是否选送。在完成医院标本使用审批流程后，由研究者按照方案规定及医院流程进行标本的采集，不得超量采集标本。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</w:rPr>
        <w:t>2）本申办者在该试验中,严格依据临床试验方案中的要求，进行如下生物样本的采集，进行研究分析，不得超量使用。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698"/>
        <w:gridCol w:w="1624"/>
        <w:gridCol w:w="851"/>
        <w:gridCol w:w="1997"/>
        <w:gridCol w:w="2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8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标本种类</w:t>
            </w:r>
          </w:p>
        </w:tc>
        <w:tc>
          <w:tcPr>
            <w:tcW w:w="698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例数</w:t>
            </w:r>
          </w:p>
        </w:tc>
        <w:tc>
          <w:tcPr>
            <w:tcW w:w="1624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片（ml ）/次</w:t>
            </w:r>
          </w:p>
        </w:tc>
        <w:tc>
          <w:tcPr>
            <w:tcW w:w="851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次/例</w:t>
            </w:r>
          </w:p>
        </w:tc>
        <w:tc>
          <w:tcPr>
            <w:tcW w:w="1997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检测项目</w:t>
            </w:r>
          </w:p>
        </w:tc>
        <w:tc>
          <w:tcPr>
            <w:tcW w:w="2164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8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组织切片</w:t>
            </w:r>
          </w:p>
        </w:tc>
        <w:tc>
          <w:tcPr>
            <w:tcW w:w="698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2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97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6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8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血样</w:t>
            </w:r>
          </w:p>
        </w:tc>
        <w:tc>
          <w:tcPr>
            <w:tcW w:w="698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2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97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6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8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尿样</w:t>
            </w:r>
          </w:p>
        </w:tc>
        <w:tc>
          <w:tcPr>
            <w:tcW w:w="698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2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97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6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8" w:type="dxa"/>
            <w:vAlign w:val="center"/>
          </w:tcPr>
          <w:p>
            <w:pPr>
              <w:spacing w:after="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  <w:r>
              <w:rPr>
                <w:rFonts w:cs="Times New Roman" w:asciiTheme="minorEastAsia" w:hAnsiTheme="minorEastAsia" w:eastAsiaTheme="minorEastAsia"/>
                <w:sz w:val="21"/>
                <w:szCs w:val="21"/>
              </w:rPr>
              <w:t>其他</w:t>
            </w:r>
          </w:p>
        </w:tc>
        <w:tc>
          <w:tcPr>
            <w:tcW w:w="698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2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97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64" w:type="dxa"/>
            <w:vAlign w:val="center"/>
          </w:tcPr>
          <w:p>
            <w:pPr>
              <w:keepNext/>
              <w:keepLines/>
              <w:spacing w:before="340" w:after="330" w:line="360" w:lineRule="auto"/>
              <w:jc w:val="center"/>
              <w:rPr>
                <w:rFonts w:cs="Times New Roman" w:asciiTheme="minorEastAsia" w:hAnsiTheme="minorEastAsia" w:eastAsiaTheme="minorEastAsia"/>
                <w:sz w:val="21"/>
                <w:szCs w:val="21"/>
              </w:rPr>
            </w:pPr>
          </w:p>
        </w:tc>
      </w:tr>
    </w:tbl>
    <w:p>
      <w:pPr>
        <w:spacing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</w:rPr>
        <w:t xml:space="preserve">3）本申办者委托 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                 </w:t>
      </w:r>
      <w:r>
        <w:rPr>
          <w:rFonts w:cs="Times New Roman" w:asciiTheme="minorEastAsia" w:hAnsiTheme="minorEastAsia" w:eastAsiaTheme="minorEastAsia"/>
          <w:sz w:val="21"/>
          <w:szCs w:val="21"/>
        </w:rPr>
        <w:t>实验室（请注明该实验室位于</w:t>
      </w:r>
      <w:r>
        <w:rPr>
          <w:rFonts w:hint="eastAsia" w:cs="Times New Roman" w:asciiTheme="minorEastAsia" w:hAnsiTheme="minorEastAsia" w:eastAsiaTheme="minorEastAsia"/>
          <w:sz w:val="21"/>
          <w:szCs w:val="21"/>
          <w:u w:val="single"/>
        </w:rPr>
        <w:t>□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</w:t>
      </w:r>
      <w:r>
        <w:rPr>
          <w:rFonts w:hint="eastAsia" w:cs="Times New Roman" w:asciiTheme="minorEastAsia" w:hAnsiTheme="minorEastAsia" w:eastAsiaTheme="minorEastAsia"/>
          <w:sz w:val="21"/>
          <w:szCs w:val="21"/>
          <w:u w:val="single"/>
        </w:rPr>
        <w:t>国内</w:t>
      </w:r>
      <w:r>
        <w:rPr>
          <w:rFonts w:cs="Times New Roman" w:asciiTheme="minorEastAsia" w:hAnsiTheme="minorEastAsia" w:eastAsiaTheme="minorEastAsia"/>
          <w:sz w:val="21"/>
          <w:szCs w:val="21"/>
        </w:rPr>
        <w:t>还是</w:t>
      </w:r>
      <w:r>
        <w:rPr>
          <w:rFonts w:hint="eastAsia" w:cs="Times New Roman" w:asciiTheme="minorEastAsia" w:hAnsiTheme="minorEastAsia" w:eastAsiaTheme="minorEastAsia"/>
          <w:sz w:val="21"/>
          <w:szCs w:val="21"/>
          <w:u w:val="single"/>
        </w:rPr>
        <w:t>□</w:t>
      </w:r>
      <w:r>
        <w:rPr>
          <w:rFonts w:cs="Times New Roman" w:asciiTheme="minorEastAsia" w:hAnsiTheme="minorEastAsia" w:eastAsiaTheme="minorEastAsia"/>
          <w:sz w:val="21"/>
          <w:szCs w:val="21"/>
          <w:u w:val="single"/>
        </w:rPr>
        <w:t xml:space="preserve"> </w:t>
      </w:r>
      <w:r>
        <w:rPr>
          <w:rFonts w:hint="eastAsia" w:cs="Times New Roman" w:asciiTheme="minorEastAsia" w:hAnsiTheme="minorEastAsia" w:eastAsiaTheme="minorEastAsia"/>
          <w:sz w:val="21"/>
          <w:szCs w:val="21"/>
          <w:u w:val="single"/>
        </w:rPr>
        <w:t>国外</w:t>
      </w:r>
      <w:r>
        <w:rPr>
          <w:rFonts w:cs="Times New Roman" w:asciiTheme="minorEastAsia" w:hAnsiTheme="minorEastAsia" w:eastAsiaTheme="minorEastAsia"/>
          <w:sz w:val="21"/>
          <w:szCs w:val="21"/>
        </w:rPr>
        <w:t>）作为本研究的中心实验室。上述生物样本均运送至该实验室进行检验。检验及相关运输费用由本申办者承担，本申办者同时对使用及运输的生物样本安全负责。涉及送至中国大陆境外的标本，其外送出口报关等一系列手续及费用也由申办方承担。检测后，多余的生物样本由该实验室直接进行销毁，并提供销毁清单或者返还给广州市胸科医院（两者选一）。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未经广州市胸科医院审批同意，上述标本不得送至中国大陆境外。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</w:rPr>
        <w:t>4）本申办者将严格按照方案要求对生物样本进行规定的研究，不用做其他研究用途。对于违反国家政策法规，以及违反试验要求将生物样本用于其他用途等，产生的后果及法律责任，由本申办者承担。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</w:rPr>
        <w:t>5）外送生物样本实验数据的所有权归本申办者所有，广州市胸科医院拥有该实验数据的使用权。</w:t>
      </w:r>
    </w:p>
    <w:p>
      <w:pPr>
        <w:spacing w:after="0" w:line="360" w:lineRule="auto"/>
        <w:ind w:firstLine="420" w:firstLineChars="200"/>
        <w:rPr>
          <w:rFonts w:cs="Times New Roman" w:asciiTheme="minorEastAsia" w:hAnsiTheme="minorEastAsia" w:eastAsiaTheme="minorEastAsia"/>
          <w:sz w:val="21"/>
          <w:szCs w:val="21"/>
        </w:rPr>
      </w:pPr>
    </w:p>
    <w:p>
      <w:pPr>
        <w:spacing w:after="0" w:line="360" w:lineRule="auto"/>
        <w:ind w:firstLine="6300" w:firstLineChars="30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cs="Times New Roman" w:asciiTheme="minorEastAsia" w:hAnsiTheme="minorEastAsia" w:eastAsiaTheme="minorEastAsia"/>
          <w:sz w:val="21"/>
          <w:szCs w:val="21"/>
        </w:rPr>
        <w:t>申办</w:t>
      </w:r>
      <w:r>
        <w:rPr>
          <w:rFonts w:hint="eastAsia" w:cs="Times New Roman" w:asciiTheme="minorEastAsia" w:hAnsiTheme="minorEastAsia" w:eastAsiaTheme="minorEastAsia"/>
          <w:sz w:val="21"/>
          <w:szCs w:val="21"/>
        </w:rPr>
        <w:t>者</w:t>
      </w:r>
      <w:r>
        <w:rPr>
          <w:rFonts w:cs="Times New Roman" w:asciiTheme="minorEastAsia" w:hAnsiTheme="minorEastAsia" w:eastAsiaTheme="minorEastAsia"/>
          <w:sz w:val="21"/>
          <w:szCs w:val="21"/>
        </w:rPr>
        <w:t>：</w:t>
      </w:r>
    </w:p>
    <w:p>
      <w:pPr>
        <w:spacing w:after="0" w:line="360" w:lineRule="auto"/>
        <w:ind w:firstLine="6300" w:firstLineChars="3000"/>
        <w:rPr>
          <w:rFonts w:cs="Times New Roman" w:asciiTheme="minorEastAsia" w:hAnsiTheme="minorEastAsia" w:eastAsiaTheme="minorEastAsia"/>
          <w:sz w:val="21"/>
          <w:szCs w:val="21"/>
        </w:rPr>
      </w:pPr>
      <w:r>
        <w:rPr>
          <w:rFonts w:hint="eastAsia" w:cs="Times New Roman" w:asciiTheme="minorEastAsia" w:hAnsiTheme="minorEastAsia" w:eastAsiaTheme="minorEastAsia"/>
          <w:sz w:val="21"/>
          <w:szCs w:val="21"/>
        </w:rPr>
        <w:t>日  期</w:t>
      </w:r>
      <w:r>
        <w:rPr>
          <w:rFonts w:cs="Times New Roman" w:asciiTheme="minorEastAsia" w:hAnsiTheme="minorEastAsia" w:eastAsiaTheme="minorEastAsia"/>
          <w:sz w:val="21"/>
          <w:szCs w:val="21"/>
        </w:rPr>
        <w:t>：</w:t>
      </w:r>
    </w:p>
    <w:p>
      <w:pPr>
        <w:spacing w:after="0"/>
        <w:jc w:val="center"/>
        <w:rPr>
          <w:rFonts w:ascii="微软雅黑" w:hAnsi="微软雅黑" w:cs="微软雅黑"/>
          <w:b/>
          <w:bCs/>
          <w:sz w:val="20"/>
          <w:szCs w:val="20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